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bookmarkEnd w:id="0"/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coronabedingte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damit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 xml:space="preserve">, wenn die Voraussetzungen für die Einführung der Kurzarbeit nicht mehr vorliegen, so dass dem Arbeitnehmer in der Folge die vertraglich vereinbarte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 xml:space="preserve">unter der Voraussetzung, dass die Agentur für Arbeit die vom Arbeitgeber beantragte Kurzarbeit bewilligt und Kurzarbeitergeld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2"/>
    <w:rsid w:val="00253434"/>
    <w:rsid w:val="00272F13"/>
    <w:rsid w:val="00393813"/>
    <w:rsid w:val="003B7B42"/>
    <w:rsid w:val="00511004"/>
    <w:rsid w:val="00591184"/>
    <w:rsid w:val="006A16C0"/>
    <w:rsid w:val="007125CE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85A6-8EB8-43E0-9818-B9EEBF5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Schweer, Birgit</dc:creator>
  <cp:lastModifiedBy>Werner, Martin</cp:lastModifiedBy>
  <cp:revision>2</cp:revision>
  <cp:lastPrinted>2020-03-20T13:29:00Z</cp:lastPrinted>
  <dcterms:created xsi:type="dcterms:W3CDTF">2020-03-24T14:22:00Z</dcterms:created>
  <dcterms:modified xsi:type="dcterms:W3CDTF">2020-03-24T14:22:00Z</dcterms:modified>
</cp:coreProperties>
</file>